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9594d6k.htm"/>
      <w:bookmarkStart w:id="1" w:name="ksd159594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001-38511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SOHU.COM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Level 18, Sohu.com Media Plaza </w:t>
      </w:r>
    </w:p>
    <w:p>
      <w:pPr>
        <w:pStyle w:val="TextBody"/>
        <w:bidi w:val="0"/>
        <w:spacing w:before="0" w:after="0"/>
        <w:jc w:val="center"/>
        <w:rPr>
          <w:rFonts w:ascii="Times New Roman" w:hAnsi="Times New Roman"/>
          <w:b/>
          <w:sz w:val="20"/>
        </w:rPr>
      </w:pPr>
      <w:r>
        <w:rPr>
          <w:rFonts w:ascii="Times New Roman" w:hAnsi="Times New Roman"/>
          <w:b/>
          <w:sz w:val="20"/>
        </w:rPr>
        <w:t xml:space="preserve">Block 3, No. 2 Kexueyuan South Road, Haidian District </w:t>
      </w:r>
    </w:p>
    <w:p>
      <w:pPr>
        <w:pStyle w:val="TextBody"/>
        <w:bidi w:val="0"/>
        <w:spacing w:before="0" w:after="0"/>
        <w:jc w:val="center"/>
        <w:rPr>
          <w:rFonts w:ascii="Times New Roman" w:hAnsi="Times New Roman"/>
          <w:b/>
          <w:sz w:val="20"/>
        </w:rPr>
      </w:pPr>
      <w:r>
        <w:rPr>
          <w:rFonts w:ascii="Times New Roman" w:hAnsi="Times New Roman"/>
          <w:b/>
          <w:sz w:val="20"/>
        </w:rPr>
        <w:t xml:space="preserve">Beijing 100190, People’s Republic of China </w:t>
      </w:r>
    </w:p>
    <w:p>
      <w:pPr>
        <w:pStyle w:val="TextBody"/>
        <w:bidi w:val="0"/>
        <w:spacing w:before="0" w:after="0"/>
        <w:jc w:val="center"/>
        <w:rPr>
          <w:rFonts w:ascii="Times New Roman" w:hAnsi="Times New Roman"/>
          <w:b/>
          <w:sz w:val="20"/>
        </w:rPr>
      </w:pPr>
      <w:r>
        <w:rPr>
          <w:rFonts w:ascii="Times New Roman" w:hAnsi="Times New Roman"/>
          <w:b/>
          <w:sz w:val="20"/>
        </w:rPr>
        <w:t xml:space="preserve">+86-10-6272-6666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September 16, 2026, the registrant held its annual general meeting of shareholders (the “2026 Annual Meeting”) in Beijing, China. The following proposals were submitted to the shareholders at the 2026 Annual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Election of three nominees as Class I Directors (as such term is defined in the registrant’s articles of association), each to serve until the second succeeding annual general meeting of shareholders and his successor is duly elected or appointed, or until his earlier resignation or removal;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Ratification of the appointment of PricewaterhouseCoopers Zhong Tian LLP as the registrant’s independent auditors for the fiscal year ending December 31,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regarding the foregoing proposals is incorporated by reference herein from the registrant’s Report of Foreign Private Issuer on Form 6-K furnished to the Securities and Exchange Commission on August 13, 2026. </w:t>
      </w:r>
    </w:p>
    <w:p>
      <w:pPr>
        <w:pStyle w:val="TextBody"/>
        <w:bidi w:val="0"/>
        <w:spacing w:before="240" w:after="0"/>
        <w:jc w:val="left"/>
        <w:rPr>
          <w:rFonts w:ascii="Times New Roman" w:hAnsi="Times New Roman"/>
          <w:sz w:val="20"/>
        </w:rPr>
      </w:pPr>
      <w:r>
        <w:rPr>
          <w:rFonts w:ascii="Times New Roman" w:hAnsi="Times New Roman"/>
          <w:b/>
          <w:sz w:val="20"/>
        </w:rPr>
        <w:t>Proposal 1.</w:t>
      </w:r>
      <w:r>
        <w:rPr>
          <w:rFonts w:ascii="Times New Roman" w:hAnsi="Times New Roman"/>
          <w:sz w:val="20"/>
        </w:rPr>
        <w:t xml:space="preserve"> The numbers of votes cast for and withheld from the three persons nominated for election as Class I Directors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62"/>
        <w:gridCol w:w="181"/>
        <w:gridCol w:w="60"/>
        <w:gridCol w:w="1105"/>
        <w:gridCol w:w="60"/>
        <w:gridCol w:w="181"/>
        <w:gridCol w:w="60"/>
        <w:gridCol w:w="983"/>
        <w:gridCol w:w="63"/>
      </w:tblGrid>
      <w:tr>
        <w:trPr/>
        <w:tc>
          <w:tcPr>
            <w:tcW w:w="5062"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Nominees</w:t>
            </w:r>
          </w:p>
        </w:tc>
        <w:tc>
          <w:tcPr>
            <w:tcW w:w="181"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Withheld</w:t>
            </w:r>
          </w:p>
        </w:tc>
        <w:tc>
          <w:tcPr>
            <w:tcW w:w="63" w:type="dxa"/>
            <w:tcBorders/>
            <w:vAlign w:val="bottom"/>
          </w:tcPr>
          <w:p>
            <w:pPr>
              <w:pStyle w:val="TableContents"/>
              <w:bidi w:val="0"/>
              <w:spacing w:before="0" w:after="283"/>
              <w:jc w:val="left"/>
              <w:rPr/>
            </w:pPr>
            <w:r>
              <w:rPr/>
              <w:t> </w:t>
            </w:r>
          </w:p>
        </w:tc>
      </w:tr>
      <w:tr>
        <w:trPr/>
        <w:tc>
          <w:tcPr>
            <w:tcW w:w="5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Charles Zhang</w:t>
            </w:r>
          </w:p>
        </w:tc>
        <w:tc>
          <w:tcPr>
            <w:tcW w:w="1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11,041,295</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7,497,640</w:t>
            </w:r>
          </w:p>
        </w:tc>
        <w:tc>
          <w:tcPr>
            <w:tcW w:w="63" w:type="dxa"/>
            <w:tcBorders/>
            <w:shd w:fill="CCEEFF" w:val="clear"/>
            <w:vAlign w:val="bottom"/>
          </w:tcPr>
          <w:p>
            <w:pPr>
              <w:pStyle w:val="TableContents"/>
              <w:bidi w:val="0"/>
              <w:spacing w:before="0" w:after="283"/>
              <w:jc w:val="left"/>
              <w:rPr/>
            </w:pPr>
            <w:r>
              <w:rPr/>
              <w:t> </w:t>
            </w:r>
          </w:p>
        </w:tc>
      </w:tr>
      <w:tr>
        <w:trPr/>
        <w:tc>
          <w:tcPr>
            <w:tcW w:w="5062" w:type="dxa"/>
            <w:tcBorders/>
          </w:tcPr>
          <w:p>
            <w:pPr>
              <w:pStyle w:val="TableContents"/>
              <w:bidi w:val="0"/>
              <w:spacing w:before="0" w:after="0"/>
              <w:jc w:val="left"/>
              <w:rPr>
                <w:rFonts w:ascii="Times New Roman" w:hAnsi="Times New Roman"/>
                <w:sz w:val="20"/>
              </w:rPr>
            </w:pPr>
            <w:r>
              <w:rPr>
                <w:rFonts w:ascii="Times New Roman" w:hAnsi="Times New Roman"/>
                <w:sz w:val="20"/>
              </w:rPr>
              <w:t>Dr. Zhonghan Deng</w:t>
            </w:r>
          </w:p>
        </w:tc>
        <w:tc>
          <w:tcPr>
            <w:tcW w:w="1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10,904,520</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7,634,415</w:t>
            </w:r>
          </w:p>
        </w:tc>
        <w:tc>
          <w:tcPr>
            <w:tcW w:w="63" w:type="dxa"/>
            <w:tcBorders/>
            <w:vAlign w:val="bottom"/>
          </w:tcPr>
          <w:p>
            <w:pPr>
              <w:pStyle w:val="TableContents"/>
              <w:bidi w:val="0"/>
              <w:spacing w:before="0" w:after="283"/>
              <w:jc w:val="left"/>
              <w:rPr/>
            </w:pPr>
            <w:r>
              <w:rPr/>
              <w:t> </w:t>
            </w:r>
          </w:p>
        </w:tc>
      </w:tr>
      <w:tr>
        <w:trPr/>
        <w:tc>
          <w:tcPr>
            <w:tcW w:w="5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Mr. Dave De Yang</w:t>
            </w:r>
          </w:p>
        </w:tc>
        <w:tc>
          <w:tcPr>
            <w:tcW w:w="1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11,160,370</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7,378,565</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Dr. Charles Zhang, Dr. Zhonghan Deng, and Mr. Dave De Yang received a plurality of the votes cast at the 2026 Annual Meeting and was elected as a Class I Director. </w:t>
      </w:r>
    </w:p>
    <w:p>
      <w:pPr>
        <w:pStyle w:val="TextBody"/>
        <w:bidi w:val="0"/>
        <w:spacing w:before="240" w:after="0"/>
        <w:jc w:val="left"/>
        <w:rPr>
          <w:rFonts w:ascii="Times New Roman" w:hAnsi="Times New Roman"/>
          <w:sz w:val="20"/>
        </w:rPr>
      </w:pPr>
      <w:r>
        <w:rPr>
          <w:rFonts w:ascii="Times New Roman" w:hAnsi="Times New Roman"/>
          <w:b/>
          <w:sz w:val="20"/>
        </w:rPr>
        <w:t>Proposal 2.</w:t>
      </w:r>
      <w:r>
        <w:rPr>
          <w:rFonts w:ascii="Times New Roman" w:hAnsi="Times New Roman"/>
          <w:sz w:val="20"/>
        </w:rPr>
        <w:t xml:space="preserve"> The numbers of votes cast for and against ratification of the appointment of PricewaterhouseCoopers Zhong Tian LLP as the registrant’s independent auditors, and the number of abstentions,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14"/>
        <w:gridCol w:w="155"/>
        <w:gridCol w:w="2404"/>
        <w:gridCol w:w="154"/>
        <w:gridCol w:w="2328"/>
      </w:tblGrid>
      <w:tr>
        <w:trPr/>
        <w:tc>
          <w:tcPr>
            <w:tcW w:w="2714"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r>
      <w:tr>
        <w:trPr/>
        <w:tc>
          <w:tcPr>
            <w:tcW w:w="27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155" w:type="dxa"/>
            <w:tcBorders/>
            <w:vAlign w:val="bottom"/>
          </w:tcPr>
          <w:p>
            <w:pPr>
              <w:pStyle w:val="TableContents"/>
              <w:bidi w:val="0"/>
              <w:spacing w:before="0" w:after="283"/>
              <w:jc w:val="left"/>
              <w:rPr/>
            </w:pPr>
            <w:r>
              <w:rPr/>
              <w:t>  </w:t>
            </w:r>
          </w:p>
        </w:tc>
        <w:tc>
          <w:tcPr>
            <w:tcW w:w="24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154" w:type="dxa"/>
            <w:tcBorders/>
            <w:vAlign w:val="bottom"/>
          </w:tcPr>
          <w:p>
            <w:pPr>
              <w:pStyle w:val="TableContents"/>
              <w:bidi w:val="0"/>
              <w:spacing w:before="0" w:after="283"/>
              <w:jc w:val="left"/>
              <w:rPr/>
            </w:pPr>
            <w:r>
              <w:rPr/>
              <w:t>  </w:t>
            </w:r>
          </w:p>
        </w:tc>
        <w:tc>
          <w:tcPr>
            <w:tcW w:w="23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r>
      <w:tr>
        <w:trPr/>
        <w:tc>
          <w:tcPr>
            <w:tcW w:w="2714"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18,279,046</w:t>
            </w:r>
          </w:p>
        </w:tc>
        <w:tc>
          <w:tcPr>
            <w:tcW w:w="155" w:type="dxa"/>
            <w:tcBorders/>
            <w:shd w:fill="CCEEFF" w:val="clear"/>
            <w:vAlign w:val="bottom"/>
          </w:tcPr>
          <w:p>
            <w:pPr>
              <w:pStyle w:val="TableContents"/>
              <w:bidi w:val="0"/>
              <w:spacing w:before="0" w:after="283"/>
              <w:jc w:val="left"/>
              <w:rPr/>
            </w:pPr>
            <w:r>
              <w:rPr/>
              <w:t>  </w:t>
            </w:r>
          </w:p>
        </w:tc>
        <w:tc>
          <w:tcPr>
            <w:tcW w:w="2404" w:type="dxa"/>
            <w:tcBorders/>
            <w:shd w:fill="CCEEFF" w:val="clear"/>
            <w:vAlign w:val="bottom"/>
          </w:tcPr>
          <w:p>
            <w:pPr>
              <w:pStyle w:val="TableContents"/>
              <w:bidi w:val="0"/>
              <w:spacing w:before="0" w:after="283"/>
              <w:jc w:val="center"/>
              <w:rPr/>
            </w:pPr>
            <w:r>
              <w:rPr/>
              <w:t>259,328</w:t>
            </w:r>
          </w:p>
        </w:tc>
        <w:tc>
          <w:tcPr>
            <w:tcW w:w="154" w:type="dxa"/>
            <w:tcBorders/>
            <w:shd w:fill="CCEEFF" w:val="clear"/>
            <w:vAlign w:val="bottom"/>
          </w:tcPr>
          <w:p>
            <w:pPr>
              <w:pStyle w:val="TableContents"/>
              <w:bidi w:val="0"/>
              <w:spacing w:before="0" w:after="283"/>
              <w:jc w:val="left"/>
              <w:rPr/>
            </w:pPr>
            <w:r>
              <w:rPr/>
              <w:t>  </w:t>
            </w:r>
          </w:p>
        </w:tc>
        <w:tc>
          <w:tcPr>
            <w:tcW w:w="2328" w:type="dxa"/>
            <w:tcBorders/>
            <w:shd w:fill="CCEEFF" w:val="clear"/>
            <w:vAlign w:val="bottom"/>
          </w:tcPr>
          <w:p>
            <w:pPr>
              <w:pStyle w:val="TableContents"/>
              <w:bidi w:val="0"/>
              <w:spacing w:before="0" w:after="283"/>
              <w:jc w:val="center"/>
              <w:rPr/>
            </w:pPr>
            <w:r>
              <w:rPr/>
              <w:t>566</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appointment of PricewaterhouseCoopers Zhong Tian LLP as the registrant’s independent auditors was ratified.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SOHU.COM LIMITED</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Joanna Lv</w:t>
            </w:r>
          </w:p>
        </w:tc>
      </w:tr>
      <w:tr>
        <w:trPr/>
        <w:tc>
          <w:tcPr>
            <w:tcW w:w="4082" w:type="dxa"/>
            <w:gridSpan w:val="3"/>
            <w:tcBorders/>
          </w:tcPr>
          <w:p>
            <w:pPr>
              <w:pStyle w:val="TableContents"/>
              <w:bidi w:val="0"/>
              <w:spacing w:before="0" w:after="283"/>
              <w:jc w:val="left"/>
              <w:rPr/>
            </w:pPr>
            <w:r>
              <w:rPr/>
              <w:t>Name: Joanna Lv</w:t>
            </w:r>
          </w:p>
        </w:tc>
      </w:tr>
      <w:tr>
        <w:trPr/>
        <w:tc>
          <w:tcPr>
            <w:tcW w:w="4082" w:type="dxa"/>
            <w:gridSpan w:val="3"/>
            <w:tcBorders/>
          </w:tcPr>
          <w:p>
            <w:pPr>
              <w:pStyle w:val="TableContents"/>
              <w:bidi w:val="0"/>
              <w:spacing w:before="0" w:after="283"/>
              <w:jc w:val="left"/>
              <w:rPr/>
            </w:pPr>
            <w:r>
              <w:rPr/>
              <w:t>Title: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16,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417</Words>
  <Characters>2268</Characters>
  <CharactersWithSpaces>2729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6-K</dc:title>
</cp:coreProperties>
</file>